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KI-Regelmappe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KI-Regelmappe Starter · Erzeugt: 2026-06-06 22:11:40</w:t>
      </w:r>
    </w:p>
    <w:p>
      <w:pPr>
        <w:pStyle w:val="Heading1"/>
      </w:pPr>
      <w:r>
        <w:t xml:space="preserve">Management Summary</w:t>
      </w:r>
    </w:p>
    <w:p>
      <w:r>
        <w:t xml:space="preserve">Diese Starter-Regelmappe unterstützt Hermes Test AG dabei, KI-Nutzung intern geordnet, nachvollziehbar und vorsichtig zu dokumentieren. Sie ist eine interne Dokumentationshilfe und keine Rechtsberatung.</w:t>
      </w:r>
    </w:p>
    <w:p/>
    <w:p>
      <w:pPr>
        <w:pStyle w:val="Heading1"/>
      </w:pPr>
      <w:r>
        <w:t xml:space="preserve">Sofort-Regeln für Mitarbeitende</w:t>
      </w:r>
    </w:p>
    <w:p/>
    <w:p>
      <w:pPr>
        <w:pStyle w:val="ListParagraph"/>
      </w:pPr>
      <w:r>
        <w:t xml:space="preserve">• Keine vertraulichen, personenbezogenen oder kundenspezifischen Daten in nicht freigegebene KI-Tools eingeben.</w:t>
      </w:r>
    </w:p>
    <w:p/>
    <w:p>
      <w:pPr>
        <w:pStyle w:val="ListParagraph"/>
      </w:pPr>
      <w:r>
        <w:t xml:space="preserve">• KI-Ergebnisse vor externer Verwendung fachlich prüfen.</w:t>
      </w:r>
    </w:p>
    <w:p/>
    <w:p>
      <w:pPr>
        <w:pStyle w:val="ListParagraph"/>
      </w:pPr>
      <w:r>
        <w:t xml:space="preserve">• Unsichere Fälle stoppen und im Fragen- und Ausnahmenlog dokumentieren.</w:t>
      </w:r>
    </w:p>
    <w:p/>
    <w:p>
      <w:pPr>
        <w:pStyle w:val="Heading1"/>
      </w:pPr>
      <w:r>
        <w:t xml:space="preserve">Datenampel</w:t>
      </w:r>
    </w:p>
    <w:p/>
    <w:p>
      <w:pPr>
        <w:pStyle w:val="ListParagraph"/>
      </w:pPr>
      <w:r>
        <w:t xml:space="preserve">• Grün: öffentliche Informationen und fiktive Beispiele.</w:t>
      </w:r>
    </w:p>
    <w:p/>
    <w:p>
      <w:pPr>
        <w:pStyle w:val="ListParagraph"/>
      </w:pPr>
      <w:r>
        <w:t xml:space="preserve">• Gelb: interne Prozessnotizen nur anonymisiert oder gekürzt.</w:t>
      </w:r>
    </w:p>
    <w:p/>
    <w:p>
      <w:pPr>
        <w:pStyle w:val="ListParagraph"/>
      </w:pPr>
      <w:r>
        <w:t xml:space="preserve">• Rot: Kundendaten, Personaldaten, Verträge, Zugangsdaten, Geschäftsgeheimnisse.</w:t>
      </w:r>
    </w:p>
    <w:p/>
    <w:p>
      <w:pPr>
        <w:pStyle w:val="Heading1"/>
      </w:pPr>
      <w:r>
        <w:t xml:space="preserve">Toolregister</w:t>
      </w:r>
    </w:p>
    <w:p>
      <w:r>
        <w:t xml:space="preserve">ChatGPT, Microsoft Copilot und DeepL werden zunächst als Entwurf erfasst. Freigabe, erlaubte Daten, Owner und Review-Datum werden im Excel-Toolregister gepflegt.</w:t>
      </w:r>
    </w:p>
    <w:p/>
    <w:p>
      <w:pPr>
        <w:pStyle w:val="Heading1"/>
      </w:pPr>
      <w:r>
        <w:t xml:space="preserve">Use Cases</w:t>
      </w:r>
    </w:p>
    <w:p/>
    <w:p>
      <w:pPr>
        <w:pStyle w:val="ListParagraph"/>
      </w:pPr>
      <w:r>
        <w:t xml:space="preserve">• Texte formulieren: erlaubt mit grünen Daten und menschlicher Prüfung.</w:t>
      </w:r>
    </w:p>
    <w:p/>
    <w:p>
      <w:pPr>
        <w:pStyle w:val="ListParagraph"/>
      </w:pPr>
      <w:r>
        <w:t xml:space="preserve">• E-Mail-Entwürfe: eingeschränkt, keine Kundendaten ohne Freigabe.</w:t>
      </w:r>
    </w:p>
    <w:p/>
    <w:p>
      <w:pPr>
        <w:pStyle w:val="ListParagraph"/>
      </w:pPr>
      <w:r>
        <w:t xml:space="preserve">• HR-, Rechts-, Finanz- oder Compliance-Entscheidungen: nicht allein durch KI.</w:t>
      </w:r>
    </w:p>
    <w:p/>
    <w:p>
      <w:pPr>
        <w:pStyle w:val="Heading1"/>
      </w:pPr>
      <w:r>
        <w:t xml:space="preserve">Rollen und Verantwortung</w:t>
      </w:r>
    </w:p>
    <w:p>
      <w:r>
        <w:t xml:space="preserve">Geschäftsleitung gibt die Richtlinie frei. KI-verantwortliche Rolle pflegt Register, Fragen und Reviews. Mitarbeitende wenden Regeln an und melden Unsicherheiten.</w:t>
      </w:r>
    </w:p>
    <w:p/>
    <w:p>
      <w:pPr>
        <w:pStyle w:val="Heading1"/>
      </w:pPr>
      <w:r>
        <w:t xml:space="preserve">Kurzunterweisung</w:t>
      </w:r>
    </w:p>
    <w:p>
      <w:r>
        <w:t xml:space="preserve">Mitarbeitende lesen Datenampel, rote Linien und Toolregister, bestätigen die Unterweisung und dokumentieren offene Fragen.</w:t>
      </w:r>
    </w:p>
    <w:p/>
    <w:p>
      <w:pPr>
        <w:pStyle w:val="Heading1"/>
      </w:pPr>
      <w:r>
        <w:t xml:space="preserve">Nachweise</w:t>
      </w:r>
    </w:p>
    <w:p>
      <w:r>
        <w:t xml:space="preserve">Teilnahmenachweis, Beschluss, Toolregister, Änderungsprotokoll und Evidenz-Ablageindex werden intern abgelegt.</w:t>
      </w:r>
    </w:p>
    <w:p/>
    <w:p>
      <w:pPr>
        <w:pStyle w:val="Heading1"/>
      </w:pPr>
      <w:r>
        <w:t xml:space="preserve">7-Tage-Plan</w:t>
      </w:r>
    </w:p>
    <w:p/>
    <w:p>
      <w:pPr>
        <w:pStyle w:val="ListParagraph"/>
      </w:pPr>
      <w:r>
        <w:t xml:space="preserve">• Tag 1-2: prüfen und anpassen.</w:t>
      </w:r>
    </w:p>
    <w:p/>
    <w:p>
      <w:pPr>
        <w:pStyle w:val="ListParagraph"/>
      </w:pPr>
      <w:r>
        <w:t xml:space="preserve">• Tag 3-4: kommunizieren und unterweisen.</w:t>
      </w:r>
    </w:p>
    <w:p/>
    <w:p>
      <w:pPr>
        <w:pStyle w:val="ListParagraph"/>
      </w:pPr>
      <w:r>
        <w:t xml:space="preserve">• Tag 5: Register befüllen.</w:t>
      </w:r>
    </w:p>
    <w:p/>
    <w:p>
      <w:pPr>
        <w:pStyle w:val="ListParagraph"/>
      </w:pPr>
      <w:r>
        <w:t xml:space="preserve">• Tag 6-7: Beschluss, Ablage und Review abschliessen.</w:t>
      </w:r>
    </w:p>
    <w:p/>
    <w:p>
      <w:pPr>
        <w:pStyle w:val="Heading1"/>
      </w:pPr>
      <w:r>
        <w:t xml:space="preserve">Review</w:t>
      </w:r>
    </w:p>
    <w:p>
      <w:r>
        <w:t xml:space="preserve">Nach 30 Tagen erster Praxistest, danach quartalsweise Toolregister und Use Cases prüfen.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