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Title"/>
      </w:pPr>
      <w:r>
        <w:t xml:space="preserve">Anleitung: So nutzen Sie dieses Paket</w:t>
      </w:r>
    </w:p>
    <w:p>
      <w:pPr>
        <w:pStyle w:val="Subtitle"/>
      </w:pPr>
      <w:r>
        <w:t xml:space="preserve">Interne Dokumentationshilfe · Keine Rechtsberatung · Keine Datenschutzberatung · Keine Zertifizierung</w:t>
      </w:r>
    </w:p>
    <w:p>
      <w:pPr>
        <w:pStyle w:val="Small"/>
      </w:pPr>
      <w:r>
        <w:t xml:space="preserve">Plan: Anleitung: So nutzen Sie dieses Paket · Erzeugt: 2026-06-06 22:11:40</w:t>
      </w:r>
    </w:p>
    <w:p>
      <w:pPr>
        <w:pStyle w:val="Heading1"/>
      </w:pPr>
      <w:r>
        <w:t xml:space="preserve">Anleitung: So nutzen Sie Ihr Starter Paket</w:t>
      </w:r>
    </w:p>
    <w:p>
      <w:r>
        <w:t xml:space="preserve">Starter-Umsetzungsordner: Management-Briefing, Richtlinie, Datenampel, Toolregister, Use-Case-Matrix, RACI, Unterweisung und Reviewplan.</w:t>
      </w:r>
    </w:p>
    <w:p/>
    <w:p>
      <w:pPr>
        <w:pStyle w:val="Heading2"/>
      </w:pPr>
      <w:r>
        <w:t xml:space="preserve">Start in 15 Minuten</w:t>
      </w:r>
    </w:p>
    <w:p/>
    <w:p>
      <w:pPr>
        <w:pStyle w:val="ListParagraph"/>
      </w:pPr>
      <w:r>
        <w:t xml:space="preserve">• README zuerst lesen.</w:t>
      </w:r>
    </w:p>
    <w:p/>
    <w:p>
      <w:pPr>
        <w:pStyle w:val="ListParagraph"/>
      </w:pPr>
      <w:r>
        <w:t xml:space="preserve">• Gesamtmappe als Überblick öffnen.</w:t>
      </w:r>
    </w:p>
    <w:p/>
    <w:p>
      <w:pPr>
        <w:pStyle w:val="ListParagraph"/>
      </w:pPr>
      <w:r>
        <w:t xml:space="preserve">• 00-anleitung-so-nutzen-sie-dieses-paket als Arbeitsreihenfolge nutzen.</w:t>
      </w:r>
    </w:p>
    <w:p/>
    <w:p>
      <w:pPr>
        <w:pStyle w:val="ListParagraph"/>
      </w:pPr>
      <w:r>
        <w:t xml:space="preserve">• Danach nur die Dateien bearbeiten, die für Ihr Paket und Ihre Organisation relevant sind.</w:t>
      </w:r>
    </w:p>
    <w:p/>
    <w:p>
      <w:pPr>
        <w:pStyle w:val="Heading2"/>
      </w:pPr>
      <w:r>
        <w:t xml:space="preserve">Nutzen und Einsatzbereich dieses Pakets</w:t>
      </w:r>
    </w:p>
    <w:p/>
    <w:p>
      <w:pPr>
        <w:pStyle w:val="ListParagraph"/>
      </w:pPr>
      <w:r>
        <w:t xml:space="preserve">• Der Wert liegt im vollständigen Startordner: Management-Briefing, Nutzungsrichtlinie, Datenampel, Toolregister, Use-Case-Matrix, RACI, Unterweisung, Nachweise und Review.</w:t>
      </w:r>
    </w:p>
    <w:p/>
    <w:p>
      <w:pPr>
        <w:pStyle w:val="ListParagraph"/>
      </w:pPr>
      <w:r>
        <w:t xml:space="preserve">• Dieses Paket rechtfertigt sich, wenn ein kleines Team nicht nur Regeln formulieren, sondern Umsetzung und Nachweise direkt starten will.</w:t>
      </w:r>
    </w:p>
    <w:p/>
    <w:p>
      <w:pPr>
        <w:pStyle w:val="Heading2"/>
      </w:pPr>
      <w:r>
        <w:t xml:space="preserve">Dateitypen</w:t>
      </w:r>
    </w:p>
    <w:p/>
    <w:p>
      <w:pPr>
        <w:pStyle w:val="ListParagraph"/>
      </w:pPr>
      <w:r>
        <w:t xml:space="preserve">• PDF = stabile interne Abgabe oder Lesefassung.</w:t>
      </w:r>
    </w:p>
    <w:p/>
    <w:p>
      <w:pPr>
        <w:pStyle w:val="ListParagraph"/>
      </w:pPr>
      <w:r>
        <w:t xml:space="preserve">• Word = bearbeitbare Version für Logo, CI, interne Begriffe, Freigaben und Ergänzungen.</w:t>
      </w:r>
    </w:p>
    <w:p/>
    <w:p>
      <w:pPr>
        <w:pStyle w:val="ListParagraph"/>
      </w:pPr>
      <w:r>
        <w:t xml:space="preserve">• Excel = Arbeitsmappe mit Anleitung-Blatt und Arbeitsblatt für Register, Importe und Reviews.</w:t>
      </w:r>
    </w:p>
    <w:p/>
    <w:p>
      <w:pPr>
        <w:pStyle w:val="ListParagraph"/>
      </w:pPr>
      <w:r>
        <w:t xml:space="preserve">• Kalender = Review-Termin übernehmen.</w:t>
      </w:r>
    </w:p>
    <w:p/>
    <w:p>
      <w:pPr>
        <w:pStyle w:val="ListParagraph"/>
      </w:pPr>
      <w:r>
        <w:t xml:space="preserve">• Text = E-Mail- oder Handover-Vorlage.</w:t>
      </w:r>
    </w:p>
    <w:p/>
    <w:p>
      <w:pPr>
        <w:pStyle w:val="Heading2"/>
      </w:pPr>
      <w:r>
        <w:t xml:space="preserve">Excel-Arbeitsblätter richtig nutzen</w:t>
      </w:r>
    </w:p>
    <w:p/>
    <w:p>
      <w:pPr>
        <w:pStyle w:val="ListParagraph"/>
      </w:pPr>
      <w:r>
        <w:t xml:space="preserve">• Öffnen Sie bei Arbeitsblättern zuerst die Excel-Datei.</w:t>
      </w:r>
    </w:p>
    <w:p/>
    <w:p>
      <w:pPr>
        <w:pStyle w:val="ListParagraph"/>
      </w:pPr>
      <w:r>
        <w:t xml:space="preserve">• Im Tabellenblatt Anleitung steht, wofür die Datei gedacht ist und was jede Spalte bedeutet.</w:t>
      </w:r>
    </w:p>
    <w:p/>
    <w:p>
      <w:pPr>
        <w:pStyle w:val="ListParagraph"/>
      </w:pPr>
      <w:r>
        <w:t xml:space="preserve">• Leere Felder sind bewusst Ausfüllfelder für Ihr Unternehmen.</w:t>
      </w:r>
    </w:p>
    <w:p/>
    <w:p>
      <w:pPr>
        <w:pStyle w:val="ListParagraph"/>
      </w:pPr>
      <w:r>
        <w:t xml:space="preserve">• Statuswerte einheitlich halten: Offen, Entwurf, In Prüfung, Freigegeben, Gesperrt, Erledigt.</w:t>
      </w:r>
    </w:p>
    <w:p/>
    <w:p>
      <w:pPr>
        <w:pStyle w:val="ListParagraph"/>
      </w:pPr>
      <w:r>
        <w:t xml:space="preserve">• Nach Bearbeitung intern als Excel-Datei speichern und den Ablageort im Evidenzindex eintragen.</w:t>
      </w:r>
    </w:p>
    <w:p/>
    <w:p>
      <w:pPr>
        <w:pStyle w:val="Heading2"/>
      </w:pPr>
      <w:r>
        <w:t xml:space="preserve">Begriffe</w:t>
      </w:r>
    </w:p>
    <w:p/>
    <w:p>
      <w:pPr>
        <w:pStyle w:val="ListParagraph"/>
      </w:pPr>
      <w:r>
        <w:t xml:space="preserve">• KI-Programm/Tool = Software wie ChatGPT, Microsoft Copilot, Gemini, DeepL oder ein internes KI-System.</w:t>
      </w:r>
    </w:p>
    <w:p/>
    <w:p>
      <w:pPr>
        <w:pStyle w:val="ListParagraph"/>
      </w:pPr>
      <w:r>
        <w:t xml:space="preserve">• Use Case = konkreter Anwendungsfall, z.B. Texte formulieren, Recherche, Zusammenfassung.</w:t>
      </w:r>
    </w:p>
    <w:p/>
    <w:p>
      <w:pPr>
        <w:pStyle w:val="ListParagraph"/>
      </w:pPr>
      <w:r>
        <w:t xml:space="preserve">• Datenampel Grün/Gelb/Rot = einfache Orientierung, welche Daten ohne Prüfung, nur mit Prüfung oder gar nicht verwendet werden sollen.</w:t>
      </w:r>
    </w:p>
    <w:p/>
    <w:p>
      <w:pPr>
        <w:pStyle w:val="ListParagraph"/>
      </w:pPr>
      <w:r>
        <w:t xml:space="preserve">• RACI = Rollenklärung: Responsible führt aus, Accountable verantwortet, Consulted wird einbezogen, Informed wird informiert.</w:t>
      </w:r>
    </w:p>
    <w:p/>
    <w:p>
      <w:pPr>
        <w:pStyle w:val="ListParagraph"/>
      </w:pPr>
      <w:r>
        <w:t xml:space="preserve">• Evidenz = interner Nachweis, dass Entscheidung, Unterweisung oder Review dokumentiert wurde.</w:t>
      </w:r>
    </w:p>
    <w:p/>
    <w:p>
      <w:pPr>
        <w:pStyle w:val="Heading2"/>
      </w:pPr>
      <w:r>
        <w:t xml:space="preserve">Entscheidungen</w:t>
      </w:r>
    </w:p>
    <w:p/>
    <w:p>
      <w:pPr>
        <w:pStyle w:val="ListParagraph"/>
      </w:pPr>
      <w:r>
        <w:t xml:space="preserve">• Gültig-ab-Datum eintragen.</w:t>
      </w:r>
    </w:p>
    <w:p/>
    <w:p>
      <w:pPr>
        <w:pStyle w:val="ListParagraph"/>
      </w:pPr>
      <w:r>
        <w:t xml:space="preserve">• Verantwortliche Rolle bestätigen.</w:t>
      </w:r>
    </w:p>
    <w:p/>
    <w:p>
      <w:pPr>
        <w:pStyle w:val="ListParagraph"/>
      </w:pPr>
      <w:r>
        <w:t xml:space="preserve">• Rote Linien und erlaubte Use Cases intern freigeben.</w:t>
      </w:r>
    </w:p>
    <w:p/>
    <w:p>
      <w:pPr>
        <w:pStyle w:val="ListParagraph"/>
      </w:pPr>
      <w:r>
        <w:t xml:space="preserve">• Rechtlich, finanziell, HR- oder Datenschutz-relevante Punkte extern bzw. intern fachlich prüfen lassen.</w:t>
      </w:r>
    </w:p>
    <w:p/>
    <w:p>
      <w:pPr>
        <w:pStyle w:val="Heading2"/>
      </w:pPr>
      <w:r>
        <w:t xml:space="preserve">Grenzen</w:t>
      </w:r>
    </w:p>
    <w:p/>
    <w:p>
      <w:pPr>
        <w:pStyle w:val="ListParagraph"/>
      </w:pPr>
      <w:r>
        <w:t xml:space="preserve">• Interne Dokumentationshilfe, keine Rechtsberatung.</w:t>
      </w:r>
    </w:p>
    <w:p/>
    <w:p>
      <w:pPr>
        <w:pStyle w:val="ListParagraph"/>
      </w:pPr>
      <w:r>
        <w:t xml:space="preserve">• Keine Datenschutzberatung, keine Zertifizierung, keine Compliance-Garantie.</w:t>
      </w:r>
    </w:p>
    <w:p/>
    <w:p>
      <w:pPr>
        <w:pStyle w:val="ListParagraph"/>
      </w:pPr>
      <w:r>
        <w:t xml:space="preserve">• Nicht blind verteilen: zuerst unternehmensspezifisch prüfen und anpassen.</w:t>
      </w:r>
    </w:p>
    <w:sectPr>
      <w:pgSz w:w="11906" w:h="16838"/>
      <w:pgMar w:top="1440" w:right="1440" w:bottom="1440" w:left="1440" w:header="708" w:footer="708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  <w:pPr>
      <w:spacing w:after="160" w:line="276" w:lineRule="auto"/>
    </w:pPr>
  </w:style>
  <w:style w:type="paragraph" w:styleId="Title">
    <w:name w:val="Title"/>
    <w:basedOn w:val="Normal"/>
    <w:rPr>
      <w:b/>
      <w:sz w:val="44"/>
      <w:color w:val="0F172A"/>
    </w:rPr>
    <w:pPr>
      <w:spacing w:after="260"/>
    </w:pPr>
  </w:style>
  <w:style w:type="paragraph" w:styleId="Subtitle">
    <w:name w:val="Subtitle"/>
    <w:basedOn w:val="Normal"/>
    <w:rPr>
      <w:sz w:val="20"/>
      <w:color w:val="334155"/>
    </w:rPr>
    <w:pPr>
      <w:spacing w:after="220"/>
    </w:pPr>
  </w:style>
  <w:style w:type="paragraph" w:styleId="Small">
    <w:name w:val="Small"/>
    <w:basedOn w:val="Normal"/>
    <w:rPr>
      <w:sz w:val="18"/>
      <w:color w:val="64748B"/>
    </w:rPr>
    <w:pPr>
      <w:spacing w:after="260"/>
    </w:pPr>
  </w:style>
  <w:style w:type="paragraph" w:styleId="Heading1">
    <w:name w:val="heading 1"/>
    <w:basedOn w:val="Normal"/>
    <w:rPr>
      <w:b/>
      <w:sz w:val="30"/>
      <w:color w:val="0F172A"/>
    </w:rPr>
    <w:pPr>
      <w:spacing w:before="280" w:after="160"/>
    </w:pPr>
  </w:style>
  <w:style w:type="paragraph" w:styleId="Heading2">
    <w:name w:val="heading 2"/>
    <w:basedOn w:val="Normal"/>
    <w:rPr>
      <w:b/>
      <w:sz w:val="24"/>
      <w:color w:val="1E3A8A"/>
    </w:rPr>
    <w:pPr>
      <w:spacing w:before="180" w:after="120"/>
    </w:pPr>
  </w:style>
  <w:style w:type="paragraph" w:styleId="ListParagraph">
    <w:name w:val="List Paragraph"/>
    <w:basedOn w:val="Normal"/>
    <w:pPr>
      <w:ind w:left="360" w:hanging="180"/>
      <w:spacing w:after="10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/Relationships>
</file>