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Management-Briefing Geschäftsleitung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Management-Briefing Geschäftsleitung · Erzeugt: 2026-06-06 22:11:40</w:t>
      </w:r>
    </w:p>
    <w:p>
      <w:pPr>
        <w:pStyle w:val="Heading1"/>
      </w:pPr>
      <w:r>
        <w:t xml:space="preserve">Management-Briefing Geschäftsleitung</w:t>
      </w:r>
    </w:p>
    <w:p>
      <w:r>
        <w:t xml:space="preserve">Kurzüberblick für die interne Freigabe bei Hermes Test AG. Dieses Dokument ist für die Geschäftsleitung gedacht: Es zeigt Entscheidung, Grenzen, erste Umsetzung und Nachweise auf einer Seite.</w:t>
      </w:r>
    </w:p>
    <w:p/>
    <w:p>
      <w:pPr>
        <w:pStyle w:val="Heading2"/>
      </w:pPr>
      <w:r>
        <w:t xml:space="preserve">Ausgangslage</w:t>
      </w:r>
    </w:p>
    <w:p/>
    <w:p>
      <w:pPr>
        <w:pStyle w:val="ListParagraph"/>
      </w:pPr>
      <w:r>
        <w:t xml:space="preserve">• Grösse: 6–15 Personen</w:t>
      </w:r>
    </w:p>
    <w:p/>
    <w:p>
      <w:pPr>
        <w:pStyle w:val="ListParagraph"/>
      </w:pPr>
      <w:r>
        <w:t xml:space="preserve">• Branche: Allgemeines KMU</w:t>
      </w:r>
    </w:p>
    <w:p/>
    <w:p>
      <w:pPr>
        <w:pStyle w:val="ListParagraph"/>
      </w:pPr>
      <w:r>
        <w:t xml:space="preserve">• Ziel: KI-Nutzung geordnet, nachvollziehbar und intern prüfbar machen.</w:t>
      </w:r>
    </w:p>
    <w:p/>
    <w:p>
      <w:pPr>
        <w:pStyle w:val="ListParagraph"/>
      </w:pPr>
      <w:r>
        <w:t xml:space="preserve">• Aktuelles Risiko: Mitarbeitende nutzen KI oft schneller als interne Regeln, Toolfreigaben und Nachweise entstehen.</w:t>
      </w:r>
    </w:p>
    <w:p/>
    <w:p>
      <w:pPr>
        <w:pStyle w:val="Heading2"/>
      </w:pPr>
      <w:r>
        <w:t xml:space="preserve">Beschlussvorschlag</w:t>
      </w:r>
    </w:p>
    <w:p/>
    <w:p>
      <w:pPr>
        <w:pStyle w:val="ListParagraph"/>
      </w:pPr>
      <w:r>
        <w:t xml:space="preserve">• KI-Regelmappe Starter als interne Version v1 freigeben.</w:t>
      </w:r>
    </w:p>
    <w:p/>
    <w:p>
      <w:pPr>
        <w:pStyle w:val="ListParagraph"/>
      </w:pPr>
      <w:r>
        <w:t xml:space="preserve">• KI-Nutzungsrichtlinie, Datenampel und rote Linien als verbindliche Arbeitsgrundlage einführen.</w:t>
      </w:r>
    </w:p>
    <w:p/>
    <w:p>
      <w:pPr>
        <w:pStyle w:val="ListParagraph"/>
      </w:pPr>
      <w:r>
        <w:t xml:space="preserve">• Nur im Toolregister freigegebene KI-Tools erlauben; alle anderen Tools bleiben bis zur Prüfung gesperrt.</w:t>
      </w:r>
    </w:p>
    <w:p/>
    <w:p>
      <w:pPr>
        <w:pStyle w:val="ListParagraph"/>
      </w:pPr>
      <w:r>
        <w:t xml:space="preserve">• Verantwortliche Rolle und Review-Termin schriftlich festhalten.</w:t>
      </w:r>
    </w:p>
    <w:p/>
    <w:p>
      <w:pPr>
        <w:pStyle w:val="Heading2"/>
      </w:pPr>
      <w:r>
        <w:t xml:space="preserve">Entscheidungsbedarf</w:t>
      </w:r>
    </w:p>
    <w:p/>
    <w:p>
      <w:pPr>
        <w:pStyle w:val="ListParagraph"/>
      </w:pPr>
      <w:r>
        <w:t xml:space="preserve">• Richtlinie freigeben.</w:t>
      </w:r>
    </w:p>
    <w:p/>
    <w:p>
      <w:pPr>
        <w:pStyle w:val="ListParagraph"/>
      </w:pPr>
      <w:r>
        <w:t xml:space="preserve">• Verantwortliche Rolle bestätigen.</w:t>
      </w:r>
    </w:p>
    <w:p/>
    <w:p>
      <w:pPr>
        <w:pStyle w:val="ListParagraph"/>
      </w:pPr>
      <w:r>
        <w:t xml:space="preserve">• Review-Termin setzen.</w:t>
      </w:r>
    </w:p>
    <w:p/>
    <w:p>
      <w:pPr>
        <w:pStyle w:val="ListParagraph"/>
      </w:pPr>
      <w:r>
        <w:t xml:space="preserve">• Ablageort für Regelmappe, Toolregister und Nachweise festlegen.</w:t>
      </w:r>
    </w:p>
    <w:p/>
    <w:p>
      <w:pPr>
        <w:pStyle w:val="ListParagraph"/>
      </w:pPr>
      <w:r>
        <w:t xml:space="preserve">• Kommunikationsweg für Fragen und Ausnahmen bestimmen.</w:t>
      </w:r>
    </w:p>
    <w:p/>
    <w:p>
      <w:pPr>
        <w:pStyle w:val="Heading2"/>
      </w:pPr>
      <w:r>
        <w:t xml:space="preserve">Erste 7 Tage</w:t>
      </w:r>
    </w:p>
    <w:p/>
    <w:p>
      <w:pPr>
        <w:pStyle w:val="ListParagraph"/>
      </w:pPr>
      <w:r>
        <w:t xml:space="preserve">• Tag 1: Unterlagen prüfen und interne Begriffe anpassen.</w:t>
      </w:r>
    </w:p>
    <w:p/>
    <w:p>
      <w:pPr>
        <w:pStyle w:val="ListParagraph"/>
      </w:pPr>
      <w:r>
        <w:t xml:space="preserve">• Tag 2: Tools, Datenarten und rote Linien finalisieren.</w:t>
      </w:r>
    </w:p>
    <w:p/>
    <w:p>
      <w:pPr>
        <w:pStyle w:val="ListParagraph"/>
      </w:pPr>
      <w:r>
        <w:t xml:space="preserve">• Tag 3-4: Mitarbeitende kurz unterweisen und Bestätigung dokumentieren.</w:t>
      </w:r>
    </w:p>
    <w:p/>
    <w:p>
      <w:pPr>
        <w:pStyle w:val="ListParagraph"/>
      </w:pPr>
      <w:r>
        <w:t xml:space="preserve">• Tag 5: Toolregister und Use-Case-Matrix in Excel befüllen.</w:t>
      </w:r>
    </w:p>
    <w:p/>
    <w:p>
      <w:pPr>
        <w:pStyle w:val="ListParagraph"/>
      </w:pPr>
      <w:r>
        <w:t xml:space="preserve">• Tag 6-7: Beschluss, Ablageindex und Reviewtermin abschliessen.</w:t>
      </w:r>
    </w:p>
    <w:p/>
    <w:p>
      <w:pPr>
        <w:pStyle w:val="Heading2"/>
      </w:pPr>
      <w:r>
        <w:t xml:space="preserve">Grenze</w:t>
      </w:r>
    </w:p>
    <w:p/>
    <w:p>
      <w:pPr>
        <w:pStyle w:val="ListParagraph"/>
      </w:pPr>
      <w:r>
        <w:t xml:space="preserve">• Interne Dokumentationshilfe, keine Rechtsberatung, keine Datenschutzberatung, keine Zertifizierung.</w:t>
      </w:r>
    </w:p>
    <w:p/>
    <w:p>
      <w:pPr>
        <w:pStyle w:val="ListParagraph"/>
      </w:pPr>
      <w:r>
        <w:t xml:space="preserve">• Rechtlich, HR-, finanz- oder datenschutzkritische Spezialfälle müssen separat fachlich geprüft werden.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