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Use-Case-Freigabematrix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Use-Case-Freigabematrix · Erzeugt: 2026-06-06 22:11:40</w:t>
      </w:r>
    </w:p>
    <w:p>
      <w:pPr>
        <w:pStyle w:val="Heading1"/>
      </w:pPr>
      <w:r>
        <w:t xml:space="preserve">Use-Case-Freigabematrix</w:t>
      </w:r>
    </w:p>
    <w:p>
      <w:r>
        <w:t xml:space="preserve">Matrix, mit der typische KI-Anwendungen freigegeben, eingeschränkt oder verboten werden.</w:t>
      </w:r>
    </w:p>
    <w:p/>
    <w:p>
      <w:pPr>
        <w:pStyle w:val="Heading2"/>
      </w:pPr>
      <w:r>
        <w:t xml:space="preserve">Startlogik</w:t>
      </w:r>
    </w:p>
    <w:p/>
    <w:p>
      <w:pPr>
        <w:pStyle w:val="ListParagraph"/>
      </w:pPr>
      <w:r>
        <w:t xml:space="preserve">• Texte formulieren: erlaubt, wenn keine sensiblen Daten enthalten sind.</w:t>
      </w:r>
    </w:p>
    <w:p/>
    <w:p>
      <w:pPr>
        <w:pStyle w:val="ListParagraph"/>
      </w:pPr>
      <w:r>
        <w:t xml:space="preserve">• E-Mails vorbereiten: erlaubt mit menschlicher Prüfung.</w:t>
      </w:r>
    </w:p>
    <w:p/>
    <w:p>
      <w:pPr>
        <w:pStyle w:val="ListParagraph"/>
      </w:pPr>
      <w:r>
        <w:t xml:space="preserve">• Kundendaten analysieren: nur anonymisiert oder mit expliziter Freigabe.</w:t>
      </w:r>
    </w:p>
    <w:p/>
    <w:p>
      <w:pPr>
        <w:pStyle w:val="ListParagraph"/>
      </w:pPr>
      <w:r>
        <w:t xml:space="preserve">• Rechts-/Finanzauskünfte: nur als Entwurf, externe/fachliche Prüfung erforderlich.</w:t>
      </w:r>
    </w:p>
    <w:p/>
    <w:p>
      <w:pPr>
        <w:pStyle w:val="ListParagraph"/>
      </w:pPr>
      <w:r>
        <w:t xml:space="preserve">• Automatisierte Entscheidungen über Personen: nicht freigegeben.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